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4B" w:rsidRPr="006264BD" w:rsidRDefault="00EB524B" w:rsidP="00EB524B">
      <w:pPr>
        <w:ind w:left="7371"/>
        <w:rPr>
          <w:b/>
          <w:bCs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>Додаток 1 до наказу</w:t>
      </w:r>
    </w:p>
    <w:p w:rsidR="00EB524B" w:rsidRPr="006264BD" w:rsidRDefault="00EB524B" w:rsidP="00EB524B">
      <w:pPr>
        <w:ind w:left="5670"/>
        <w:rPr>
          <w:b/>
          <w:bCs/>
          <w:color w:val="auto"/>
          <w:lang w:val="uk-UA"/>
        </w:rPr>
      </w:pPr>
    </w:p>
    <w:p w:rsidR="00EB524B" w:rsidRPr="006264BD" w:rsidRDefault="00EB524B" w:rsidP="00EB524B">
      <w:pPr>
        <w:ind w:left="6946"/>
        <w:rPr>
          <w:b/>
          <w:bCs/>
          <w:color w:val="auto"/>
          <w:sz w:val="20"/>
          <w:lang w:val="uk-UA"/>
        </w:rPr>
      </w:pPr>
      <w:r w:rsidRPr="006264BD">
        <w:rPr>
          <w:b/>
          <w:bCs/>
          <w:color w:val="auto"/>
          <w:sz w:val="20"/>
          <w:lang w:val="uk-UA"/>
        </w:rPr>
        <w:t>ЗАТВЕРДЖЕНО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 xml:space="preserve">наказом керівника апарату 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>Саксаганського районного суду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>м. Кривого Рогу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>Дніпропетровської області</w:t>
      </w:r>
    </w:p>
    <w:p w:rsidR="00EB524B" w:rsidRPr="006264BD" w:rsidRDefault="00EA55E4" w:rsidP="00EB524B">
      <w:pPr>
        <w:ind w:left="6946"/>
        <w:jc w:val="both"/>
        <w:rPr>
          <w:b/>
          <w:bCs/>
          <w:color w:val="auto"/>
          <w:lang w:val="uk-UA"/>
        </w:rPr>
      </w:pPr>
      <w:r>
        <w:rPr>
          <w:bCs/>
          <w:color w:val="auto"/>
          <w:sz w:val="20"/>
          <w:lang w:val="uk-UA"/>
        </w:rPr>
        <w:t>1</w:t>
      </w:r>
      <w:r w:rsidR="00936049">
        <w:rPr>
          <w:bCs/>
          <w:color w:val="auto"/>
          <w:sz w:val="20"/>
          <w:lang w:val="uk-UA"/>
        </w:rPr>
        <w:t>0</w:t>
      </w:r>
      <w:r>
        <w:rPr>
          <w:bCs/>
          <w:color w:val="auto"/>
          <w:sz w:val="20"/>
          <w:lang w:val="uk-UA"/>
        </w:rPr>
        <w:t xml:space="preserve"> </w:t>
      </w:r>
      <w:r w:rsidR="00936049">
        <w:rPr>
          <w:bCs/>
          <w:color w:val="auto"/>
          <w:sz w:val="20"/>
          <w:lang w:val="uk-UA"/>
        </w:rPr>
        <w:t>листопада</w:t>
      </w:r>
      <w:r w:rsidR="00EB524B" w:rsidRPr="006264BD">
        <w:rPr>
          <w:bCs/>
          <w:color w:val="auto"/>
          <w:sz w:val="20"/>
          <w:lang w:val="uk-UA"/>
        </w:rPr>
        <w:t xml:space="preserve"> 2021 року № </w:t>
      </w:r>
      <w:r>
        <w:rPr>
          <w:bCs/>
          <w:color w:val="auto"/>
          <w:sz w:val="20"/>
          <w:lang w:val="uk-UA"/>
        </w:rPr>
        <w:t>8</w:t>
      </w:r>
      <w:r w:rsidR="00936049">
        <w:rPr>
          <w:bCs/>
          <w:color w:val="auto"/>
          <w:sz w:val="20"/>
          <w:lang w:val="uk-UA"/>
        </w:rPr>
        <w:t>9</w:t>
      </w:r>
      <w:r w:rsidR="00EB524B" w:rsidRPr="006264BD">
        <w:rPr>
          <w:bCs/>
          <w:color w:val="auto"/>
          <w:sz w:val="20"/>
          <w:lang w:val="uk-UA"/>
        </w:rPr>
        <w:t>-о</w:t>
      </w:r>
    </w:p>
    <w:p w:rsidR="00EB524B" w:rsidRPr="006264BD" w:rsidRDefault="00EB524B" w:rsidP="00EB524B">
      <w:pPr>
        <w:ind w:left="6521"/>
        <w:jc w:val="center"/>
        <w:rPr>
          <w:b/>
          <w:bCs/>
          <w:color w:val="auto"/>
          <w:lang w:val="uk-UA"/>
        </w:rPr>
      </w:pPr>
    </w:p>
    <w:p w:rsidR="00EB524B" w:rsidRDefault="00EB524B" w:rsidP="00EB524B">
      <w:pPr>
        <w:ind w:right="142" w:firstLine="142"/>
        <w:jc w:val="center"/>
        <w:rPr>
          <w:b/>
          <w:bCs/>
          <w:color w:val="auto"/>
          <w:lang w:val="uk-UA"/>
        </w:rPr>
      </w:pPr>
    </w:p>
    <w:p w:rsidR="00613ECB" w:rsidRDefault="00613ECB" w:rsidP="00EB524B">
      <w:pPr>
        <w:ind w:right="142" w:firstLine="142"/>
        <w:jc w:val="center"/>
        <w:rPr>
          <w:b/>
          <w:bCs/>
          <w:color w:val="auto"/>
          <w:lang w:val="uk-UA"/>
        </w:rPr>
      </w:pPr>
    </w:p>
    <w:p w:rsidR="00EB524B" w:rsidRPr="006264BD" w:rsidRDefault="00EB524B" w:rsidP="00EB524B">
      <w:pPr>
        <w:ind w:right="142" w:firstLine="142"/>
        <w:jc w:val="center"/>
        <w:rPr>
          <w:b/>
          <w:bCs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>УМОВИ</w:t>
      </w:r>
    </w:p>
    <w:p w:rsidR="00EB524B" w:rsidRPr="006264BD" w:rsidRDefault="00EB524B" w:rsidP="00EB524B">
      <w:pPr>
        <w:ind w:right="142" w:firstLine="142"/>
        <w:jc w:val="center"/>
        <w:rPr>
          <w:b/>
          <w:bCs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>проведення конкурсу на зайняття посади державної служби</w:t>
      </w:r>
    </w:p>
    <w:p w:rsidR="00EB524B" w:rsidRPr="006264BD" w:rsidRDefault="00EB524B" w:rsidP="00EB524B">
      <w:pPr>
        <w:ind w:right="142" w:firstLine="142"/>
        <w:jc w:val="center"/>
        <w:rPr>
          <w:b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 xml:space="preserve">категорії «В» </w:t>
      </w:r>
      <w:r w:rsidRPr="006264BD">
        <w:rPr>
          <w:b/>
          <w:color w:val="auto"/>
          <w:lang w:val="uk-UA"/>
        </w:rPr>
        <w:t>у Саксаганському районному суді м. Кривого Рогу</w:t>
      </w:r>
    </w:p>
    <w:p w:rsidR="00EB524B" w:rsidRDefault="00EB524B" w:rsidP="00EB524B">
      <w:pPr>
        <w:ind w:right="142" w:firstLine="142"/>
        <w:jc w:val="center"/>
        <w:rPr>
          <w:b/>
          <w:color w:val="auto"/>
          <w:lang w:val="uk-UA"/>
        </w:rPr>
      </w:pPr>
      <w:r w:rsidRPr="006264BD">
        <w:rPr>
          <w:b/>
          <w:color w:val="auto"/>
          <w:lang w:val="uk-UA"/>
        </w:rPr>
        <w:t>Дніпро</w:t>
      </w:r>
      <w:r w:rsidR="002218F7">
        <w:rPr>
          <w:b/>
          <w:color w:val="auto"/>
          <w:lang w:val="uk-UA"/>
        </w:rPr>
        <w:t>петровської області – секретаря</w:t>
      </w:r>
      <w:r w:rsidR="00B8593D">
        <w:rPr>
          <w:b/>
          <w:color w:val="auto"/>
          <w:lang w:val="uk-UA"/>
        </w:rPr>
        <w:t xml:space="preserve"> суду</w:t>
      </w:r>
    </w:p>
    <w:p w:rsidR="00B8593D" w:rsidRPr="006264BD" w:rsidRDefault="00B8593D" w:rsidP="00EB524B">
      <w:pPr>
        <w:ind w:right="142" w:firstLine="142"/>
        <w:jc w:val="center"/>
        <w:rPr>
          <w:b/>
          <w:color w:val="auto"/>
          <w:lang w:val="uk-UA"/>
        </w:rPr>
      </w:pPr>
    </w:p>
    <w:tbl>
      <w:tblPr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103"/>
        <w:gridCol w:w="6521"/>
      </w:tblGrid>
      <w:tr w:rsidR="00EB524B" w:rsidRPr="006264BD" w:rsidTr="00A2281E">
        <w:trPr>
          <w:trHeight w:val="615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4B" w:rsidRPr="006264BD" w:rsidRDefault="00EB524B" w:rsidP="00A2281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Загальні умови</w:t>
            </w:r>
          </w:p>
        </w:tc>
      </w:tr>
      <w:tr w:rsidR="00EB524B" w:rsidRPr="00936049" w:rsidTr="00A2281E">
        <w:tblPrEx>
          <w:tblLook w:val="04A0" w:firstRow="1" w:lastRow="0" w:firstColumn="1" w:lastColumn="0" w:noHBand="0" w:noVBand="1"/>
        </w:tblPrEx>
        <w:trPr>
          <w:trHeight w:val="3526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Посадові обов`язки</w:t>
            </w:r>
          </w:p>
        </w:tc>
        <w:tc>
          <w:tcPr>
            <w:tcW w:w="6521" w:type="dxa"/>
          </w:tcPr>
          <w:p w:rsidR="00B8593D" w:rsidRPr="00263501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Веде первинний облік справ і матеріалів, розгляд яких передбачено процесуальним законодавством, забезпечує заповнення обліково-статистичних карток в електронному вигляді. </w:t>
            </w:r>
          </w:p>
          <w:p w:rsidR="00B8593D" w:rsidRPr="00263501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Здійснює реєстрацію та ведення справ і матеріалів, розгляд яких передбачено процесуальним законодавством. </w:t>
            </w:r>
          </w:p>
          <w:p w:rsidR="00B8593D" w:rsidRPr="00263501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>Вносить до автоматизованої системи документообігу суду відомості про дату набрання законної сили судових рішень та кримінальних проваджень.</w:t>
            </w:r>
          </w:p>
          <w:p w:rsidR="00B8593D" w:rsidRPr="00F45A5F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Забезпечує зберігання судових справ та інших матеріалів. </w:t>
            </w:r>
            <w:r w:rsidRPr="00E278A3">
              <w:rPr>
                <w:sz w:val="23"/>
                <w:szCs w:val="23"/>
                <w:lang w:val="uk-UA"/>
              </w:rPr>
              <w:t xml:space="preserve">Здійснює облік і забезпечує зберігання речових доказів, які надійшли зі справою </w:t>
            </w:r>
            <w:r>
              <w:rPr>
                <w:sz w:val="23"/>
                <w:szCs w:val="23"/>
                <w:lang w:val="uk-UA"/>
              </w:rPr>
              <w:t>до суду.</w:t>
            </w:r>
          </w:p>
          <w:p w:rsidR="00B8593D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Веде номенклатурні справи суду.</w:t>
            </w:r>
          </w:p>
          <w:p w:rsidR="00B8593D" w:rsidRPr="00263501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Здійснює підготовку судових справ із скаргами, поданнями для надіслання до судів вищих інстанцій. </w:t>
            </w:r>
          </w:p>
          <w:p w:rsidR="00B8593D" w:rsidRPr="00F45A5F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>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</w:t>
            </w:r>
            <w:r>
              <w:rPr>
                <w:sz w:val="23"/>
                <w:szCs w:val="23"/>
                <w:lang w:val="uk-UA"/>
              </w:rPr>
              <w:t>ав. З</w:t>
            </w:r>
            <w:r w:rsidRPr="00F45A5F">
              <w:rPr>
                <w:sz w:val="23"/>
                <w:szCs w:val="23"/>
                <w:lang w:val="uk-UA"/>
              </w:rPr>
              <w:t xml:space="preserve">дійснює облік виконавчих документів, які передаються для виконання до державної виконавчої служби. </w:t>
            </w:r>
          </w:p>
          <w:p w:rsidR="00B8593D" w:rsidRPr="00263501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Складає за встановленими формами статистичні звіти про результати розгляду судових справ, відповідає за достовірність та своєчасність їх складання та оформлення. </w:t>
            </w:r>
          </w:p>
          <w:p w:rsidR="00B8593D" w:rsidRPr="00263501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 </w:t>
            </w:r>
          </w:p>
          <w:p w:rsidR="00B8593D" w:rsidRPr="00263501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 </w:t>
            </w:r>
          </w:p>
          <w:p w:rsidR="00B8593D" w:rsidRPr="00263501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Виконує вимоги </w:t>
            </w:r>
            <w:r w:rsidRPr="0093151D">
              <w:rPr>
                <w:rFonts w:eastAsia="Times New Roman"/>
                <w:sz w:val="23"/>
                <w:szCs w:val="23"/>
                <w:lang w:val="uk-UA"/>
              </w:rPr>
              <w:t>Інструкції з діловодства у місцевих та апеляційних судах України, затвердженої наказом ДСА України № 814 від 20.08.2019 (зі змінами</w:t>
            </w:r>
            <w:r>
              <w:rPr>
                <w:rFonts w:eastAsia="Times New Roman"/>
                <w:sz w:val="23"/>
                <w:szCs w:val="23"/>
                <w:lang w:val="uk-UA"/>
              </w:rPr>
              <w:t>)</w:t>
            </w:r>
            <w:r w:rsidRPr="00263501">
              <w:rPr>
                <w:sz w:val="23"/>
                <w:szCs w:val="23"/>
                <w:lang w:val="uk-UA"/>
              </w:rPr>
              <w:t>.</w:t>
            </w:r>
          </w:p>
          <w:p w:rsidR="00EB524B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>Виконує доручення керівника апарату суду, старшого секретаря суду щодо організації роботи канцелярії суду.</w:t>
            </w:r>
          </w:p>
          <w:p w:rsidR="00B8593D" w:rsidRPr="006264BD" w:rsidRDefault="00B8593D" w:rsidP="00B8593D">
            <w:pPr>
              <w:pStyle w:val="aa"/>
              <w:ind w:left="317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EB524B" w:rsidRPr="00936049" w:rsidTr="00A2281E">
        <w:tblPrEx>
          <w:tblLook w:val="04A0" w:firstRow="1" w:lastRow="0" w:firstColumn="1" w:lastColumn="0" w:noHBand="0" w:noVBand="1"/>
        </w:tblPrEx>
        <w:trPr>
          <w:trHeight w:val="2932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1" w:type="dxa"/>
          </w:tcPr>
          <w:p w:rsidR="00EB524B" w:rsidRPr="006264BD" w:rsidRDefault="00EB524B" w:rsidP="00A2281E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6264BD">
              <w:rPr>
                <w:rFonts w:eastAsia="Calibri"/>
                <w:b/>
                <w:color w:val="auto"/>
                <w:sz w:val="23"/>
                <w:szCs w:val="23"/>
                <w:lang w:val="uk-UA"/>
              </w:rPr>
              <w:t>Посадовий оклад – 4</w:t>
            </w:r>
            <w:r w:rsidR="002218F7">
              <w:rPr>
                <w:rFonts w:eastAsia="Calibri"/>
                <w:b/>
                <w:color w:val="auto"/>
                <w:sz w:val="23"/>
                <w:szCs w:val="23"/>
                <w:lang w:val="uk-UA"/>
              </w:rPr>
              <w:t>39</w:t>
            </w:r>
            <w:r w:rsidRPr="006264BD">
              <w:rPr>
                <w:rFonts w:eastAsia="Calibri"/>
                <w:b/>
                <w:color w:val="auto"/>
                <w:sz w:val="23"/>
                <w:szCs w:val="23"/>
                <w:lang w:val="uk-UA"/>
              </w:rPr>
              <w:t>4 грн</w:t>
            </w:r>
            <w:r w:rsidRPr="006264BD">
              <w:rPr>
                <w:rFonts w:eastAsia="Calibri"/>
                <w:color w:val="auto"/>
                <w:sz w:val="23"/>
                <w:szCs w:val="23"/>
                <w:lang w:val="uk-UA"/>
              </w:rPr>
              <w:t>, відповідно до Постанови Кабінету Міністрів України від 24.05.2017 № 358 «Деякі питання оплати праці державних службовців, органів та установ системи правосуддя».</w:t>
            </w:r>
          </w:p>
          <w:p w:rsidR="00EB524B" w:rsidRPr="00EB524B" w:rsidRDefault="00EB524B" w:rsidP="00A2281E">
            <w:pPr>
              <w:ind w:right="142" w:firstLine="176"/>
              <w:jc w:val="both"/>
              <w:rPr>
                <w:rFonts w:eastAsia="Calibri"/>
                <w:color w:val="auto"/>
                <w:sz w:val="16"/>
                <w:szCs w:val="16"/>
                <w:lang w:val="uk-UA"/>
              </w:rPr>
            </w:pPr>
          </w:p>
          <w:p w:rsidR="00EB524B" w:rsidRPr="006264BD" w:rsidRDefault="00EB524B" w:rsidP="00A2281E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6264BD">
              <w:rPr>
                <w:rFonts w:eastAsia="Calibri"/>
                <w:color w:val="auto"/>
                <w:sz w:val="23"/>
                <w:szCs w:val="23"/>
                <w:lang w:val="uk-UA"/>
              </w:rPr>
              <w:t>Надбавки, доплати, премії та компенсації відповідно до статті 52 Закону України «Про державну службу».</w:t>
            </w:r>
          </w:p>
          <w:p w:rsidR="00EB524B" w:rsidRPr="006264BD" w:rsidRDefault="00EB524B" w:rsidP="00A2281E">
            <w:pPr>
              <w:ind w:right="142" w:firstLine="176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«Про деякі питання оплати праці працівників державних органів» (зі змінами)</w:t>
            </w:r>
            <w:r>
              <w:rPr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EB524B" w:rsidRPr="00936049" w:rsidTr="00613ECB">
        <w:tblPrEx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</w:tcPr>
          <w:p w:rsidR="00EB524B" w:rsidRPr="006264BD" w:rsidRDefault="00EB524B" w:rsidP="00A2281E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Строково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на період заміщення тимчасово відсутнього державного службовця, за яким зберігається посада державної служби</w:t>
            </w:r>
          </w:p>
        </w:tc>
      </w:tr>
      <w:tr w:rsidR="00EB524B" w:rsidRPr="00936049" w:rsidTr="00834A80">
        <w:tblPrEx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</w:tcPr>
          <w:p w:rsidR="00834A80" w:rsidRPr="006264BD" w:rsidRDefault="00834A80" w:rsidP="00834A80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1)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>заяву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(зі змінами) (далі – Порядок);</w:t>
            </w:r>
          </w:p>
          <w:p w:rsidR="00834A80" w:rsidRPr="006264BD" w:rsidRDefault="00834A80" w:rsidP="00834A80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2)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>резюме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 за формою згідно з додатком 2</w:t>
            </w:r>
            <w:r w:rsidRPr="006264BD">
              <w:rPr>
                <w:color w:val="auto"/>
                <w:sz w:val="23"/>
                <w:szCs w:val="23"/>
                <w:vertAlign w:val="superscript"/>
                <w:lang w:val="uk-UA"/>
              </w:rPr>
              <w:t>-1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 до Порядку, в якому обов’язково зазначається така інформація:</w:t>
            </w:r>
          </w:p>
          <w:p w:rsidR="00834A80" w:rsidRPr="006264BD" w:rsidRDefault="00834A80" w:rsidP="00834A80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прізвище, ім’я, по батькові кандидата;</w:t>
            </w:r>
          </w:p>
          <w:p w:rsidR="00834A80" w:rsidRPr="006264BD" w:rsidRDefault="00834A80" w:rsidP="00834A80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34A80" w:rsidRDefault="00834A80" w:rsidP="00834A80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підтвердження наявності відповідного ступеня вищої освіти;</w:t>
            </w:r>
          </w:p>
          <w:p w:rsidR="00834A80" w:rsidRPr="006264BD" w:rsidRDefault="00834A80" w:rsidP="00834A80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834A80" w:rsidRDefault="00834A80" w:rsidP="00834A80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3)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>заяву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color w:val="auto"/>
                <w:sz w:val="23"/>
                <w:szCs w:val="23"/>
                <w:lang w:val="uk-UA"/>
              </w:rPr>
              <w:t>;</w:t>
            </w:r>
          </w:p>
          <w:p w:rsidR="00834A80" w:rsidRPr="006264BD" w:rsidRDefault="00834A80" w:rsidP="00834A80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3</w:t>
            </w:r>
            <w:r>
              <w:rPr>
                <w:color w:val="auto"/>
                <w:sz w:val="23"/>
                <w:szCs w:val="23"/>
                <w:vertAlign w:val="superscript"/>
                <w:lang w:val="uk-UA"/>
              </w:rPr>
              <w:t>1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) 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t>копію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 xml:space="preserve"> Державного сертифіката про рівень володіння державною мовою </w:t>
            </w:r>
            <w:r w:rsidRPr="00CC4B68">
              <w:rPr>
                <w:color w:val="auto"/>
                <w:sz w:val="23"/>
                <w:szCs w:val="23"/>
                <w:lang w:val="uk-UA"/>
              </w:rPr>
              <w:t>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834A80" w:rsidRPr="0037274D" w:rsidRDefault="00834A80" w:rsidP="00834A80">
            <w:pPr>
              <w:spacing w:after="80"/>
              <w:ind w:firstLine="318"/>
              <w:jc w:val="both"/>
              <w:rPr>
                <w:color w:val="auto"/>
                <w:sz w:val="23"/>
                <w:szCs w:val="23"/>
                <w:u w:val="single"/>
                <w:lang w:val="uk-UA"/>
              </w:rPr>
            </w:pPr>
            <w:r w:rsidRPr="0037274D">
              <w:rPr>
                <w:color w:val="auto"/>
                <w:sz w:val="23"/>
                <w:szCs w:val="23"/>
                <w:u w:val="single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834A80" w:rsidRPr="006264BD" w:rsidRDefault="00834A80" w:rsidP="00834A80">
            <w:pPr>
              <w:ind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Особа, яка бажає взяти участь  конкурсі, може подати конкурсній комісії інформацію через Єдиний портал вакансій державної служби за посиланням 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https://career.gov.ua/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834A80" w:rsidRDefault="00834A80" w:rsidP="00834A80">
            <w:pPr>
              <w:ind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На електронні документи, що подаються для участі у конкурсі, накладається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 xml:space="preserve">кваліфікований 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електронний підпис кандидата</w:t>
            </w:r>
            <w:r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EB524B" w:rsidRPr="006264BD" w:rsidRDefault="00834A80" w:rsidP="00936049">
            <w:pPr>
              <w:ind w:firstLine="317"/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 w:eastAsia="en-US"/>
              </w:rPr>
              <w:t xml:space="preserve">Строк подання документів – 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до 1</w:t>
            </w:r>
            <w:r w:rsidR="00936049">
              <w:rPr>
                <w:b/>
                <w:color w:val="auto"/>
                <w:sz w:val="23"/>
                <w:szCs w:val="23"/>
                <w:lang w:val="uk-UA"/>
              </w:rPr>
              <w:t>2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:00 год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t xml:space="preserve"> 08 </w:t>
            </w:r>
            <w:r w:rsidR="00936049">
              <w:rPr>
                <w:b/>
                <w:color w:val="auto"/>
                <w:sz w:val="23"/>
                <w:szCs w:val="23"/>
                <w:lang w:val="uk-UA"/>
              </w:rPr>
              <w:t>грудня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br/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2021 року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EB524B" w:rsidRPr="00936049" w:rsidTr="00A2281E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EB524B" w:rsidRPr="006264BD" w:rsidRDefault="00EB524B" w:rsidP="00A2281E">
            <w:pPr>
              <w:pStyle w:val="rvps14"/>
              <w:spacing w:before="150" w:beforeAutospacing="0" w:after="150" w:afterAutospacing="0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</w:tcPr>
          <w:p w:rsidR="00EB524B" w:rsidRPr="006264BD" w:rsidRDefault="00EB524B" w:rsidP="00A2281E">
            <w:pPr>
              <w:pStyle w:val="rvps2"/>
              <w:spacing w:before="120" w:beforeAutospacing="0" w:after="120" w:afterAutospacing="0"/>
              <w:ind w:left="-40" w:right="57" w:firstLine="142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EB524B" w:rsidRPr="006264BD" w:rsidRDefault="00EB524B" w:rsidP="00A2281E">
            <w:pPr>
              <w:pStyle w:val="rvps14"/>
              <w:spacing w:before="150" w:beforeAutospacing="0" w:after="150" w:afterAutospacing="0"/>
              <w:ind w:left="-40" w:firstLine="142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lastRenderedPageBreak/>
              <w:t>Особа, яка бажає взяти участь у конкурсі, може додати до заяви про участь у конкурсі іншу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</w:tc>
      </w:tr>
      <w:tr w:rsidR="00EB524B" w:rsidRPr="00936049" w:rsidTr="00A2281E">
        <w:tblPrEx>
          <w:tblLook w:val="04A0" w:firstRow="1" w:lastRow="0" w:firstColumn="1" w:lastColumn="0" w:noHBand="0" w:noVBand="1"/>
        </w:tblPrEx>
        <w:trPr>
          <w:trHeight w:val="2647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lastRenderedPageBreak/>
              <w:t>Дата і час початку проведення тестування кандидатів.</w:t>
            </w: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Місце або спосіб проведення тестування.</w:t>
            </w: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</w:tcPr>
          <w:p w:rsidR="00EB524B" w:rsidRPr="006264BD" w:rsidRDefault="002218F7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>
              <w:rPr>
                <w:b/>
                <w:color w:val="auto"/>
                <w:sz w:val="23"/>
                <w:szCs w:val="23"/>
                <w:lang w:val="uk-UA"/>
              </w:rPr>
              <w:t>1</w:t>
            </w:r>
            <w:r w:rsidR="00936049">
              <w:rPr>
                <w:b/>
                <w:color w:val="auto"/>
                <w:sz w:val="23"/>
                <w:szCs w:val="23"/>
                <w:lang w:val="uk-UA"/>
              </w:rPr>
              <w:t>0</w:t>
            </w:r>
            <w:r w:rsidR="00834A80">
              <w:rPr>
                <w:b/>
                <w:color w:val="auto"/>
                <w:sz w:val="23"/>
                <w:szCs w:val="23"/>
                <w:lang w:val="uk-UA"/>
              </w:rPr>
              <w:t xml:space="preserve"> </w:t>
            </w:r>
            <w:r w:rsidR="00936049">
              <w:rPr>
                <w:b/>
                <w:color w:val="auto"/>
                <w:sz w:val="23"/>
                <w:szCs w:val="23"/>
                <w:lang w:val="uk-UA"/>
              </w:rPr>
              <w:t>грудня</w:t>
            </w:r>
            <w:r w:rsidR="00EB524B" w:rsidRPr="006264BD">
              <w:rPr>
                <w:b/>
                <w:color w:val="auto"/>
                <w:sz w:val="23"/>
                <w:szCs w:val="23"/>
                <w:lang w:val="uk-UA"/>
              </w:rPr>
              <w:t xml:space="preserve"> 2021 року о </w:t>
            </w:r>
            <w:r w:rsidR="00EB524B">
              <w:rPr>
                <w:b/>
                <w:color w:val="auto"/>
                <w:sz w:val="23"/>
                <w:szCs w:val="23"/>
                <w:lang w:val="uk-UA"/>
              </w:rPr>
              <w:t>09:0</w:t>
            </w:r>
            <w:r w:rsidR="00EB524B" w:rsidRPr="006264BD">
              <w:rPr>
                <w:b/>
                <w:color w:val="auto"/>
                <w:sz w:val="23"/>
                <w:szCs w:val="23"/>
                <w:lang w:val="uk-UA"/>
              </w:rPr>
              <w:t>0 год</w:t>
            </w:r>
            <w:r w:rsidR="00EB524B" w:rsidRPr="006264BD">
              <w:rPr>
                <w:color w:val="auto"/>
                <w:sz w:val="23"/>
                <w:szCs w:val="23"/>
                <w:lang w:val="uk-UA"/>
              </w:rPr>
              <w:t xml:space="preserve"> у приміщенні Саксаганського районного суду м. Кривого Рогу Дніпропетровської області з</w:t>
            </w:r>
            <w:r w:rsidR="00834A80">
              <w:rPr>
                <w:color w:val="auto"/>
                <w:sz w:val="23"/>
                <w:szCs w:val="23"/>
                <w:lang w:val="uk-UA"/>
              </w:rPr>
              <w:t>а адресою: вул. Демиденка, 3-А,</w:t>
            </w:r>
            <w:r w:rsidR="00936049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bookmarkStart w:id="0" w:name="_GoBack"/>
            <w:bookmarkEnd w:id="0"/>
            <w:r w:rsidR="00EB524B" w:rsidRPr="006264BD">
              <w:rPr>
                <w:color w:val="auto"/>
                <w:sz w:val="23"/>
                <w:szCs w:val="23"/>
                <w:lang w:val="uk-UA"/>
              </w:rPr>
              <w:t>м. Кривий Ріг, Дніпропетровська область (проведення тестування за фізичної присутності кандидатів).</w:t>
            </w: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У приміщенні Саксаганського районного суду м. Кривого Рогу Дніпропетровської області за адресою: вул. Демиденка, 3-А,</w:t>
            </w:r>
            <w:r w:rsidRPr="006264BD">
              <w:rPr>
                <w:color w:val="auto"/>
                <w:sz w:val="23"/>
                <w:szCs w:val="23"/>
                <w:lang w:val="uk-UA"/>
              </w:rPr>
              <w:br/>
              <w:t>м. Кривий Ріг, Дніпропетровська область (проведення співбесіди за фізичної присутності кандидатів).</w:t>
            </w:r>
          </w:p>
        </w:tc>
      </w:tr>
      <w:tr w:rsidR="00EB524B" w:rsidRPr="006264BD" w:rsidTr="00A2281E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shd w:val="clear" w:color="auto" w:fill="auto"/>
          </w:tcPr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Бай Євген Тарасович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телефон: 097 509 60 75;</w:t>
            </w: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Новіцька Анна Юріївна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телефон: 097 889 52 28,</w:t>
            </w: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e-mail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: </w:t>
            </w:r>
            <w:hyperlink r:id="rId8" w:history="1">
              <w:r w:rsidRPr="006264BD">
                <w:rPr>
                  <w:rStyle w:val="ae"/>
                  <w:color w:val="auto"/>
                  <w:sz w:val="23"/>
                  <w:szCs w:val="23"/>
                  <w:lang w:val="uk-UA"/>
                </w:rPr>
                <w:t>inbox@sk.dp.court.gov.ua</w:t>
              </w:r>
            </w:hyperlink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Кваліфікаційні вимоги</w:t>
            </w:r>
          </w:p>
        </w:tc>
      </w:tr>
      <w:tr w:rsidR="00EB524B" w:rsidRPr="00E02F95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EA55E4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Cs/>
                <w:sz w:val="23"/>
                <w:szCs w:val="23"/>
                <w:lang w:val="uk-UA" w:eastAsia="ru-RU"/>
              </w:rPr>
              <w:t xml:space="preserve">Вища освіта, </w:t>
            </w:r>
            <w:r w:rsidRPr="006264BD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не нижче ступеня молодшого бакалавра або бакалавра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 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за спеціальністю 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«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Право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»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, 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«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Правознавство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»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 або 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«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Правоохоронна діяльність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»</w:t>
            </w:r>
            <w:r w:rsidR="00834A80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.</w:t>
            </w:r>
          </w:p>
        </w:tc>
      </w:tr>
      <w:tr w:rsidR="00EB524B" w:rsidRPr="00936049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8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 w:right="26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Без вимог до досвіду роботи</w:t>
            </w:r>
            <w:r w:rsidR="00834A80">
              <w:rPr>
                <w:sz w:val="23"/>
                <w:szCs w:val="23"/>
                <w:lang w:val="uk-UA"/>
              </w:rPr>
              <w:t>.</w:t>
            </w:r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Style w:val="rvts0"/>
                <w:sz w:val="23"/>
                <w:szCs w:val="23"/>
                <w:lang w:val="uk-UA"/>
              </w:rPr>
              <w:t>Вільне володіння державною мовою</w:t>
            </w:r>
            <w:r w:rsidR="00834A80">
              <w:rPr>
                <w:rStyle w:val="rvts0"/>
                <w:sz w:val="23"/>
                <w:szCs w:val="23"/>
                <w:lang w:val="uk-UA"/>
              </w:rPr>
              <w:t>.</w:t>
            </w:r>
          </w:p>
        </w:tc>
      </w:tr>
      <w:tr w:rsidR="00EB524B" w:rsidRPr="00936049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Володіння іноземною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87" w:right="125"/>
              <w:jc w:val="both"/>
              <w:rPr>
                <w:rStyle w:val="rvts0"/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Без вимог до знання іноземної мови</w:t>
            </w:r>
            <w:r w:rsidR="00834A80">
              <w:rPr>
                <w:sz w:val="23"/>
                <w:szCs w:val="23"/>
                <w:lang w:val="uk-UA"/>
              </w:rPr>
              <w:t>.</w:t>
            </w:r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5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C149F3" w:rsidP="00A2281E">
            <w:pPr>
              <w:ind w:right="27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hyperlink r:id="rId9">
              <w:r w:rsidR="00EB524B" w:rsidRPr="006264BD">
                <w:rPr>
                  <w:rFonts w:eastAsia="Times New Roman"/>
                  <w:b/>
                  <w:sz w:val="23"/>
                  <w:szCs w:val="23"/>
                  <w:lang w:val="uk-UA"/>
                </w:rPr>
                <w:t>Вимоги до компетентності</w:t>
              </w:r>
            </w:hyperlink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EB524B" w:rsidRPr="00936049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0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firstLine="111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Управління конфліктами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орієнтація на припинення конфліктної ситуації, вибір оптимальної стратегії розв'язання конфлікту;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керування своїми емоціями, розуміння емоцій учасників;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орієнтація на запобігання конфліктних ситуацій</w:t>
            </w:r>
          </w:p>
        </w:tc>
      </w:tr>
      <w:tr w:rsidR="00EB524B" w:rsidRPr="00936049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0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B524B" w:rsidRPr="00936049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2218F7" w:rsidP="00A2281E">
            <w:pPr>
              <w:rPr>
                <w:rFonts w:eastAsia="Times New Roman"/>
                <w:sz w:val="23"/>
                <w:szCs w:val="23"/>
                <w:lang w:val="uk-UA"/>
              </w:rPr>
            </w:pPr>
            <w:r>
              <w:rPr>
                <w:rFonts w:eastAsia="Times New Roman"/>
                <w:sz w:val="23"/>
                <w:szCs w:val="23"/>
                <w:lang w:val="uk-UA"/>
              </w:rPr>
              <w:t xml:space="preserve"> </w:t>
            </w:r>
            <w:r w:rsidR="00EB524B" w:rsidRPr="006264BD">
              <w:rPr>
                <w:rFonts w:eastAsia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2218F7" w:rsidP="00A2281E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Робота з великими масивами інформації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8F7" w:rsidRPr="006264BD" w:rsidRDefault="002218F7" w:rsidP="002218F7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здатність встановлювати логічні взаємозв’язки;</w:t>
            </w:r>
          </w:p>
          <w:p w:rsidR="002218F7" w:rsidRPr="006264BD" w:rsidRDefault="002218F7" w:rsidP="002218F7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вміння систематизувати великий обсяг інформації;</w:t>
            </w:r>
          </w:p>
          <w:p w:rsidR="00EB524B" w:rsidRPr="006264BD" w:rsidRDefault="002218F7" w:rsidP="002218F7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здатність виділяти головне, робити чіткі, структуровані висновки</w:t>
            </w:r>
          </w:p>
        </w:tc>
      </w:tr>
      <w:tr w:rsidR="00EB524B" w:rsidRPr="00936049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2218F7" w:rsidP="002218F7">
            <w:pPr>
              <w:rPr>
                <w:rFonts w:eastAsia="Times New Roman"/>
                <w:sz w:val="23"/>
                <w:szCs w:val="23"/>
                <w:lang w:val="uk-UA"/>
              </w:rPr>
            </w:pPr>
            <w:r>
              <w:rPr>
                <w:rFonts w:eastAsia="Times New Roman"/>
                <w:sz w:val="23"/>
                <w:szCs w:val="23"/>
                <w:lang w:val="uk-UA"/>
              </w:rPr>
              <w:t xml:space="preserve"> 4</w:t>
            </w:r>
            <w:r w:rsidR="00EB524B" w:rsidRPr="006264BD">
              <w:rPr>
                <w:rFonts w:eastAsia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lastRenderedPageBreak/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bookmarkStart w:id="1" w:name="_heading=h.30j0zll" w:colFirst="0" w:colLast="0"/>
            <w:bookmarkEnd w:id="1"/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lastRenderedPageBreak/>
              <w:t>Професійні знання</w:t>
            </w:r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EB524B" w:rsidRPr="00936049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524B" w:rsidRPr="006264BD" w:rsidRDefault="00EB524B" w:rsidP="00A2281E">
            <w:pPr>
              <w:spacing w:after="20"/>
              <w:ind w:left="120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tabs>
                <w:tab w:val="left" w:pos="129"/>
              </w:tabs>
              <w:spacing w:after="20"/>
              <w:ind w:left="135" w:right="120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Конституції України;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Закону України «Про державну службу»;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Закону України «Про запобігання корупції»</w:t>
            </w:r>
          </w:p>
        </w:tc>
      </w:tr>
      <w:tr w:rsidR="00EB524B" w:rsidRPr="00936049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28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tabs>
                <w:tab w:val="left" w:pos="522"/>
              </w:tabs>
              <w:spacing w:after="20"/>
              <w:ind w:left="135" w:right="125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Закону України « Про судоустрій і статус суддів»;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 xml:space="preserve">Цивільного процесуального кодексу України; 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Кримінального процесуального кодексу України;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Кодексу України про адміністративні правопорушення;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color w:val="auto"/>
                <w:sz w:val="23"/>
                <w:szCs w:val="23"/>
                <w:lang w:val="uk-UA"/>
              </w:rPr>
              <w:t>Положення про автоматизовану систему документообігу суду, затвердженого Рішенням Ради суддів від 26.11.2010 № 30 (зі змінами);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Інструкції з діловодства у місцевих та апеляційних судах України, затвердженої наказом ДСА України № 814 від 20.08.2019 (зі змінами та доповненнями)</w:t>
            </w:r>
            <w:bookmarkStart w:id="2" w:name="_heading=h.tyjcwt" w:colFirst="0" w:colLast="0"/>
            <w:bookmarkEnd w:id="2"/>
          </w:p>
        </w:tc>
      </w:tr>
    </w:tbl>
    <w:p w:rsidR="00C33950" w:rsidRPr="00936049" w:rsidRDefault="00C33950" w:rsidP="005E6D93">
      <w:pPr>
        <w:pStyle w:val="a6"/>
        <w:rPr>
          <w:rStyle w:val="a3"/>
          <w:i w:val="0"/>
          <w:color w:val="auto"/>
          <w:sz w:val="26"/>
          <w:szCs w:val="26"/>
          <w:lang w:val="uk-UA"/>
        </w:rPr>
      </w:pPr>
    </w:p>
    <w:sectPr w:rsidR="00C33950" w:rsidRPr="00936049" w:rsidSect="00B8593D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F3" w:rsidRDefault="00C149F3" w:rsidP="006642EE">
      <w:r>
        <w:separator/>
      </w:r>
    </w:p>
  </w:endnote>
  <w:endnote w:type="continuationSeparator" w:id="0">
    <w:p w:rsidR="00C149F3" w:rsidRDefault="00C149F3" w:rsidP="0066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F3" w:rsidRDefault="00C149F3" w:rsidP="006642EE">
      <w:r>
        <w:separator/>
      </w:r>
    </w:p>
  </w:footnote>
  <w:footnote w:type="continuationSeparator" w:id="0">
    <w:p w:rsidR="00C149F3" w:rsidRDefault="00C149F3" w:rsidP="0066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3E0EA3"/>
    <w:multiLevelType w:val="hybridMultilevel"/>
    <w:tmpl w:val="8D42C21A"/>
    <w:lvl w:ilvl="0" w:tplc="3A7274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687820"/>
    <w:multiLevelType w:val="hybridMultilevel"/>
    <w:tmpl w:val="600AC576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806AC86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96C60"/>
    <w:multiLevelType w:val="hybridMultilevel"/>
    <w:tmpl w:val="B5585DEC"/>
    <w:lvl w:ilvl="0" w:tplc="6EE4B784">
      <w:numFmt w:val="bullet"/>
      <w:lvlText w:val=""/>
      <w:lvlJc w:val="left"/>
      <w:pPr>
        <w:ind w:left="9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">
    <w:nsid w:val="228036C0"/>
    <w:multiLevelType w:val="hybridMultilevel"/>
    <w:tmpl w:val="333878E0"/>
    <w:lvl w:ilvl="0" w:tplc="6EE4B784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3D1912"/>
    <w:multiLevelType w:val="hybridMultilevel"/>
    <w:tmpl w:val="F47250BC"/>
    <w:lvl w:ilvl="0" w:tplc="6EE4B784">
      <w:numFmt w:val="bullet"/>
      <w:lvlText w:val="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27702AD4"/>
    <w:multiLevelType w:val="multilevel"/>
    <w:tmpl w:val="6122E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9E61BB9"/>
    <w:multiLevelType w:val="hybridMultilevel"/>
    <w:tmpl w:val="8AEE5A7C"/>
    <w:lvl w:ilvl="0" w:tplc="6EE4B784">
      <w:numFmt w:val="bullet"/>
      <w:lvlText w:val=""/>
      <w:lvlJc w:val="left"/>
      <w:pPr>
        <w:ind w:left="7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A1657B9"/>
    <w:multiLevelType w:val="hybridMultilevel"/>
    <w:tmpl w:val="576E8680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9534F"/>
    <w:multiLevelType w:val="hybridMultilevel"/>
    <w:tmpl w:val="A32A1EF2"/>
    <w:lvl w:ilvl="0" w:tplc="09EC2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A73CD"/>
    <w:multiLevelType w:val="hybridMultilevel"/>
    <w:tmpl w:val="88F46418"/>
    <w:lvl w:ilvl="0" w:tplc="6EE4B784">
      <w:numFmt w:val="bullet"/>
      <w:lvlText w:val=""/>
      <w:lvlJc w:val="left"/>
      <w:pPr>
        <w:ind w:left="98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1">
    <w:nsid w:val="6F14147B"/>
    <w:multiLevelType w:val="hybridMultilevel"/>
    <w:tmpl w:val="C076F172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65C59"/>
    <w:multiLevelType w:val="hybridMultilevel"/>
    <w:tmpl w:val="C3BEC7CE"/>
    <w:lvl w:ilvl="0" w:tplc="861C6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2"/>
    <w:rsid w:val="00001F4F"/>
    <w:rsid w:val="000317DF"/>
    <w:rsid w:val="00094153"/>
    <w:rsid w:val="000A7B44"/>
    <w:rsid w:val="000D2284"/>
    <w:rsid w:val="000D2513"/>
    <w:rsid w:val="000E4EC1"/>
    <w:rsid w:val="00103449"/>
    <w:rsid w:val="0013422C"/>
    <w:rsid w:val="0014323F"/>
    <w:rsid w:val="00143D12"/>
    <w:rsid w:val="00172AB6"/>
    <w:rsid w:val="00197D12"/>
    <w:rsid w:val="001C11CC"/>
    <w:rsid w:val="001D1324"/>
    <w:rsid w:val="001D2AD1"/>
    <w:rsid w:val="001D4206"/>
    <w:rsid w:val="001D69B1"/>
    <w:rsid w:val="001F20AB"/>
    <w:rsid w:val="001F747C"/>
    <w:rsid w:val="00207B8C"/>
    <w:rsid w:val="00217D81"/>
    <w:rsid w:val="002218F7"/>
    <w:rsid w:val="00243212"/>
    <w:rsid w:val="00246ECD"/>
    <w:rsid w:val="00254FCD"/>
    <w:rsid w:val="002706D8"/>
    <w:rsid w:val="002811D0"/>
    <w:rsid w:val="002844D0"/>
    <w:rsid w:val="002A4AC6"/>
    <w:rsid w:val="002C34BD"/>
    <w:rsid w:val="002F4AAB"/>
    <w:rsid w:val="00316EF8"/>
    <w:rsid w:val="0031730A"/>
    <w:rsid w:val="00324769"/>
    <w:rsid w:val="00336EA5"/>
    <w:rsid w:val="003521F0"/>
    <w:rsid w:val="00354F36"/>
    <w:rsid w:val="003612B3"/>
    <w:rsid w:val="00391735"/>
    <w:rsid w:val="003B638E"/>
    <w:rsid w:val="00421F90"/>
    <w:rsid w:val="00444FCF"/>
    <w:rsid w:val="0045402F"/>
    <w:rsid w:val="00495ACC"/>
    <w:rsid w:val="00497EC6"/>
    <w:rsid w:val="004C1A98"/>
    <w:rsid w:val="004C294E"/>
    <w:rsid w:val="004C7332"/>
    <w:rsid w:val="004D725D"/>
    <w:rsid w:val="00504985"/>
    <w:rsid w:val="005075B0"/>
    <w:rsid w:val="00515798"/>
    <w:rsid w:val="005207B2"/>
    <w:rsid w:val="0052411F"/>
    <w:rsid w:val="0053644A"/>
    <w:rsid w:val="00572FBA"/>
    <w:rsid w:val="0058465E"/>
    <w:rsid w:val="00586048"/>
    <w:rsid w:val="00593E33"/>
    <w:rsid w:val="00595A6D"/>
    <w:rsid w:val="005C153B"/>
    <w:rsid w:val="005D30CC"/>
    <w:rsid w:val="005D5637"/>
    <w:rsid w:val="005E3038"/>
    <w:rsid w:val="005E636A"/>
    <w:rsid w:val="005E6D93"/>
    <w:rsid w:val="00606AF5"/>
    <w:rsid w:val="00612C13"/>
    <w:rsid w:val="00613ECB"/>
    <w:rsid w:val="006366A1"/>
    <w:rsid w:val="00646278"/>
    <w:rsid w:val="00646A32"/>
    <w:rsid w:val="006642EE"/>
    <w:rsid w:val="00677EBD"/>
    <w:rsid w:val="00697E1A"/>
    <w:rsid w:val="006C3010"/>
    <w:rsid w:val="006D1FAD"/>
    <w:rsid w:val="007168D4"/>
    <w:rsid w:val="0072472A"/>
    <w:rsid w:val="007252F5"/>
    <w:rsid w:val="0076256B"/>
    <w:rsid w:val="00763BA0"/>
    <w:rsid w:val="00780D4E"/>
    <w:rsid w:val="00787848"/>
    <w:rsid w:val="00793306"/>
    <w:rsid w:val="007A0DC2"/>
    <w:rsid w:val="007B1184"/>
    <w:rsid w:val="007B41C6"/>
    <w:rsid w:val="007C05DB"/>
    <w:rsid w:val="007C61F4"/>
    <w:rsid w:val="007D1BD6"/>
    <w:rsid w:val="00807949"/>
    <w:rsid w:val="00834A80"/>
    <w:rsid w:val="008354E2"/>
    <w:rsid w:val="00836A33"/>
    <w:rsid w:val="0085452C"/>
    <w:rsid w:val="008640B3"/>
    <w:rsid w:val="00872A1E"/>
    <w:rsid w:val="008A0137"/>
    <w:rsid w:val="008B163E"/>
    <w:rsid w:val="008B24FB"/>
    <w:rsid w:val="008D317E"/>
    <w:rsid w:val="00936049"/>
    <w:rsid w:val="009574C1"/>
    <w:rsid w:val="00961B71"/>
    <w:rsid w:val="009621A4"/>
    <w:rsid w:val="00996CB8"/>
    <w:rsid w:val="009A0949"/>
    <w:rsid w:val="009A1862"/>
    <w:rsid w:val="009B59E7"/>
    <w:rsid w:val="00A25E45"/>
    <w:rsid w:val="00A349FF"/>
    <w:rsid w:val="00A42DB6"/>
    <w:rsid w:val="00A43BF7"/>
    <w:rsid w:val="00A63972"/>
    <w:rsid w:val="00A91385"/>
    <w:rsid w:val="00AA2554"/>
    <w:rsid w:val="00AC080D"/>
    <w:rsid w:val="00AE3C94"/>
    <w:rsid w:val="00AE7EED"/>
    <w:rsid w:val="00B2368B"/>
    <w:rsid w:val="00B4617A"/>
    <w:rsid w:val="00B63C9A"/>
    <w:rsid w:val="00B8593D"/>
    <w:rsid w:val="00BC0B88"/>
    <w:rsid w:val="00BC0F94"/>
    <w:rsid w:val="00BC64FC"/>
    <w:rsid w:val="00BE781A"/>
    <w:rsid w:val="00C04B86"/>
    <w:rsid w:val="00C137DE"/>
    <w:rsid w:val="00C149F3"/>
    <w:rsid w:val="00C15087"/>
    <w:rsid w:val="00C33950"/>
    <w:rsid w:val="00C53960"/>
    <w:rsid w:val="00C8514E"/>
    <w:rsid w:val="00CA2751"/>
    <w:rsid w:val="00CA482F"/>
    <w:rsid w:val="00CD01F5"/>
    <w:rsid w:val="00CD6723"/>
    <w:rsid w:val="00CE22FA"/>
    <w:rsid w:val="00D026E3"/>
    <w:rsid w:val="00D2698A"/>
    <w:rsid w:val="00D3392F"/>
    <w:rsid w:val="00D40995"/>
    <w:rsid w:val="00D4783C"/>
    <w:rsid w:val="00D63753"/>
    <w:rsid w:val="00D75C51"/>
    <w:rsid w:val="00D869F8"/>
    <w:rsid w:val="00D95326"/>
    <w:rsid w:val="00DA22E5"/>
    <w:rsid w:val="00DB3CB0"/>
    <w:rsid w:val="00DC0B8A"/>
    <w:rsid w:val="00DC263F"/>
    <w:rsid w:val="00DD016B"/>
    <w:rsid w:val="00E02F95"/>
    <w:rsid w:val="00E23C0D"/>
    <w:rsid w:val="00E35335"/>
    <w:rsid w:val="00E75F88"/>
    <w:rsid w:val="00E96175"/>
    <w:rsid w:val="00EA55E4"/>
    <w:rsid w:val="00EA7CF5"/>
    <w:rsid w:val="00EB524B"/>
    <w:rsid w:val="00EC1402"/>
    <w:rsid w:val="00EC35DA"/>
    <w:rsid w:val="00EC6DFD"/>
    <w:rsid w:val="00EC7FF1"/>
    <w:rsid w:val="00ED024A"/>
    <w:rsid w:val="00ED3CAF"/>
    <w:rsid w:val="00EF11E7"/>
    <w:rsid w:val="00EF685F"/>
    <w:rsid w:val="00F11C4F"/>
    <w:rsid w:val="00F14EDD"/>
    <w:rsid w:val="00F31BE9"/>
    <w:rsid w:val="00F44DCD"/>
    <w:rsid w:val="00F55AC3"/>
    <w:rsid w:val="00F6067E"/>
    <w:rsid w:val="00F72AC0"/>
    <w:rsid w:val="00F84F1C"/>
    <w:rsid w:val="00F97904"/>
    <w:rsid w:val="00FB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29FF1-B2E9-4BDC-A4FF-A8C0A39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7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1">
    <w:name w:val="heading 1"/>
    <w:basedOn w:val="a"/>
    <w:next w:val="a"/>
    <w:link w:val="10"/>
    <w:qFormat/>
    <w:rsid w:val="00A63972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972"/>
    <w:rPr>
      <w:rFonts w:ascii="Times New Roman" w:eastAsia="HG Mincho Light J" w:hAnsi="Times New Roman" w:cs="Times New Roman"/>
      <w:color w:val="000000"/>
      <w:sz w:val="28"/>
      <w:szCs w:val="20"/>
      <w:lang w:val="en-US" w:eastAsia="uk-UA"/>
    </w:rPr>
  </w:style>
  <w:style w:type="paragraph" w:customStyle="1" w:styleId="WW-2">
    <w:name w:val="WW-Основной текст с отступом 2"/>
    <w:basedOn w:val="a"/>
    <w:rsid w:val="00A63972"/>
    <w:pPr>
      <w:ind w:firstLine="900"/>
    </w:pPr>
    <w:rPr>
      <w:sz w:val="28"/>
      <w:lang w:val="uk-UA"/>
    </w:rPr>
  </w:style>
  <w:style w:type="paragraph" w:customStyle="1" w:styleId="WW-3">
    <w:name w:val="WW-Основной текст 3"/>
    <w:basedOn w:val="a"/>
    <w:rsid w:val="00A63972"/>
    <w:rPr>
      <w:sz w:val="28"/>
      <w:lang w:val="uk-UA"/>
    </w:rPr>
  </w:style>
  <w:style w:type="character" w:styleId="a3">
    <w:name w:val="Emphasis"/>
    <w:qFormat/>
    <w:rsid w:val="00A639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04B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86"/>
    <w:rPr>
      <w:rFonts w:ascii="Tahoma" w:eastAsia="HG Mincho Light J" w:hAnsi="Tahoma" w:cs="Tahoma"/>
      <w:color w:val="000000"/>
      <w:sz w:val="16"/>
      <w:szCs w:val="16"/>
      <w:lang w:val="en-US" w:eastAsia="uk-UA"/>
    </w:rPr>
  </w:style>
  <w:style w:type="paragraph" w:styleId="a6">
    <w:name w:val="header"/>
    <w:basedOn w:val="a"/>
    <w:link w:val="a7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a8">
    <w:name w:val="footer"/>
    <w:basedOn w:val="a"/>
    <w:link w:val="a9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customStyle="1" w:styleId="Default">
    <w:name w:val="Default"/>
    <w:rsid w:val="00515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EC1402"/>
    <w:pPr>
      <w:ind w:left="720"/>
      <w:contextualSpacing/>
    </w:pPr>
  </w:style>
  <w:style w:type="paragraph" w:customStyle="1" w:styleId="ab">
    <w:name w:val="Нормальний текст"/>
    <w:basedOn w:val="a"/>
    <w:rsid w:val="00A43BF7"/>
    <w:pPr>
      <w:widowControl/>
      <w:suppressAutoHyphens w:val="0"/>
      <w:spacing w:before="120"/>
      <w:ind w:firstLine="567"/>
    </w:pPr>
    <w:rPr>
      <w:rFonts w:ascii="Antiqua" w:eastAsia="Calibri" w:hAnsi="Antiqua"/>
      <w:color w:val="auto"/>
      <w:sz w:val="26"/>
      <w:lang w:val="uk-UA" w:eastAsia="ru-RU"/>
    </w:rPr>
  </w:style>
  <w:style w:type="character" w:customStyle="1" w:styleId="rvts23">
    <w:name w:val="rvts23"/>
    <w:rsid w:val="00A43BF7"/>
  </w:style>
  <w:style w:type="character" w:customStyle="1" w:styleId="apple-converted-space">
    <w:name w:val="apple-converted-space"/>
    <w:rsid w:val="00A43BF7"/>
  </w:style>
  <w:style w:type="character" w:customStyle="1" w:styleId="rvts9">
    <w:name w:val="rvts9"/>
    <w:rsid w:val="00A43BF7"/>
  </w:style>
  <w:style w:type="paragraph" w:styleId="ac">
    <w:name w:val="No Spacing"/>
    <w:uiPriority w:val="1"/>
    <w:qFormat/>
    <w:rsid w:val="00A43BF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C0B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uk-UA"/>
    </w:rPr>
  </w:style>
  <w:style w:type="paragraph" w:styleId="ad">
    <w:name w:val="Normal (Web)"/>
    <w:basedOn w:val="a"/>
    <w:unhideWhenUsed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4">
    <w:name w:val="rvps14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character" w:styleId="ae">
    <w:name w:val="Hyperlink"/>
    <w:uiPriority w:val="99"/>
    <w:semiHidden/>
    <w:rsid w:val="00763BA0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Calibri"/>
      <w:color w:val="auto"/>
      <w:szCs w:val="24"/>
      <w:lang w:val="ru-RU" w:eastAsia="ru-RU"/>
    </w:rPr>
  </w:style>
  <w:style w:type="paragraph" w:customStyle="1" w:styleId="af">
    <w:name w:val="?????????? ???????"/>
    <w:basedOn w:val="a"/>
    <w:rsid w:val="004C1A98"/>
    <w:pPr>
      <w:suppressAutoHyphens w:val="0"/>
      <w:autoSpaceDE w:val="0"/>
      <w:autoSpaceDN w:val="0"/>
      <w:adjustRightInd w:val="0"/>
    </w:pPr>
    <w:rPr>
      <w:rFonts w:eastAsia="Calibri"/>
      <w:color w:val="auto"/>
      <w:kern w:val="1"/>
      <w:szCs w:val="24"/>
      <w:lang w:val="ru-RU" w:eastAsia="zh-CN"/>
    </w:rPr>
  </w:style>
  <w:style w:type="paragraph" w:styleId="HTML">
    <w:name w:val="HTML Preformatted"/>
    <w:basedOn w:val="a"/>
    <w:link w:val="HTML0"/>
    <w:rsid w:val="004C1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sz w:val="20"/>
      <w:lang w:val="uk-UA"/>
    </w:rPr>
  </w:style>
  <w:style w:type="character" w:customStyle="1" w:styleId="HTML0">
    <w:name w:val="Стандартный HTML Знак"/>
    <w:basedOn w:val="a0"/>
    <w:link w:val="HTML"/>
    <w:rsid w:val="004C1A98"/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rvts0">
    <w:name w:val="rvts0"/>
    <w:basedOn w:val="a0"/>
    <w:rsid w:val="00F31B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sk.dp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98784-E753-435B-BF7E-BD69B687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3</cp:revision>
  <cp:lastPrinted>2021-10-11T11:59:00Z</cp:lastPrinted>
  <dcterms:created xsi:type="dcterms:W3CDTF">2021-10-11T12:00:00Z</dcterms:created>
  <dcterms:modified xsi:type="dcterms:W3CDTF">2021-11-10T11:39:00Z</dcterms:modified>
</cp:coreProperties>
</file>